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spacing w:line="257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ACTIVITY 5.2: Learning About My Community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Complete a scavenger hunt to learn more about your municipality or regional district. Use your local government’s website, Statistics Canada’s website, or other information sources.</w:t>
      </w:r>
    </w:p>
    <w:p w:rsidR="00000000" w:rsidDel="00000000" w:rsidP="00000000" w:rsidRDefault="00000000" w:rsidRPr="00000000" w14:paraId="0000000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6804"/>
        <w:gridCol w:w="3544"/>
        <w:tblGridChange w:id="0">
          <w:tblGrid>
            <w:gridCol w:w="6804"/>
            <w:gridCol w:w="3544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of incorporation 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Detail the population and census data (Statistics Canada, Census Profile, 2021)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Identify the geographic boundaries and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two major landforms or waterways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within it.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Outline the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composition of the municipal council or regional district board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(title and number of positions).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Description of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four services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provided to the community.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Summarize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three recent announcements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or new programs offered and identify who is impacted</w:t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the community.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Additional:</w:t>
      </w:r>
      <w:r w:rsidDel="00000000" w:rsidR="00000000" w:rsidRPr="00000000">
        <w:rPr>
          <w:sz w:val="24"/>
          <w:szCs w:val="24"/>
          <w:rtl w:val="0"/>
        </w:rPr>
        <w:t xml:space="preserve"> Photo evidence of neighbourhood attractions, cultural institutions and activities (four pieces)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spacing w:after="0" w:line="24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