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spacing w:line="257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ACTIVITY 5.4: By-law Analysis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  <w:t xml:space="preserve">By-laws are the primary legislative instrument of local governments. Municipal councils and regional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  <w:t xml:space="preserve">district boards make decisions by adopting or amending recommendations from its committees and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  <w:t xml:space="preserve">local government officials. Visit your local government’s website and find a recent by-law. Analyze the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by-law by responding to the questions below.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6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6662"/>
        <w:tblGridChange w:id="0">
          <w:tblGrid>
            <w:gridCol w:w="4106"/>
            <w:gridCol w:w="6662"/>
          </w:tblGrid>
        </w:tblGridChange>
      </w:tblGrid>
      <w:tr>
        <w:trPr>
          <w:cantSplit w:val="0"/>
          <w:trHeight w:val="758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BY-LAW INFORMATION:</w:t>
            </w:r>
          </w:p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Number, subject, date</w:t>
            </w:r>
          </w:p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2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DETAILS:</w:t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are the details of the by-law?</w:t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CONDITIONS: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are the underlying conditions?</w:t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are the goals and objectives?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9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RESULTS:</w:t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can progress or changes in behaviour be evaluated?</w:t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8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ANALYSIS:</w:t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you think the by-law will be effective? Why or why not?</w:t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i w:val="1"/>
      <w:color w:val="1f4e7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f4e79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spacing w:after="0" w:line="240" w:lineRule="auto"/>
    </w:pPr>
    <w:rPr>
      <w:color w:val="5a5a5a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