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before="16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28"/>
          <w:szCs w:val="28"/>
          <w:rtl w:val="0"/>
        </w:rPr>
        <w:t xml:space="preserve">ACTIVITY 2.4: Our Rights and Responsibilities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before="160" w:line="240" w:lineRule="auto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For each of the following rights from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rtl w:val="0"/>
        </w:rPr>
        <w:t xml:space="preserve">Canadian Charter of Rights and Freedoms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, write down a corresponding responsibility. 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1"/>
        <w:gridCol w:w="4679"/>
        <w:tblGridChange w:id="0">
          <w:tblGrid>
            <w:gridCol w:w="4671"/>
            <w:gridCol w:w="4679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RESPONSIBILITY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speak freely…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not say things that would be hurtful or disrespectful to others.</w:t>
            </w:r>
          </w:p>
        </w:tc>
      </w:tr>
      <w:tr>
        <w:trPr>
          <w:cantSplit w:val="0"/>
          <w:trHeight w:val="1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protest or participate in a rally about an issue I believe in…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pray and worship in the religion of my choice, or not worship at all…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be friends with or associate with anyone I choose…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vote in an election (when I am at least 18 years of age)…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communicate in either French or English when writing or speaking with the federal government…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  <w:tr>
        <w:trPr>
          <w:cantSplit w:val="0"/>
          <w:trHeight w:val="1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the right to be treated fairly regardless of my race, background, religion, gender, age, or mental or physical ability…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160" w:before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 and I have the responsibility to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before="8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